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850"/>
        <w:gridCol w:w="284"/>
        <w:gridCol w:w="1276"/>
        <w:gridCol w:w="992"/>
        <w:gridCol w:w="2835"/>
      </w:tblGrid>
      <w:tr>
        <w:trPr>
          <w:trHeight w:hRule="exact" w:val="1998.02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5401.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44.04.01 Педагогическое образование (высшее образование - магистратура), Направленность (профиль) программы «Государственно-общественное управление образованием», утв. приказом ректора ОмГА от 25.03.2024 №34.</w:t>
            </w:r>
          </w:p>
          <w:p>
            <w:pPr>
              <w:jc w:val="both"/>
              <w:spacing w:after="0" w:line="240" w:lineRule="auto"/>
              <w:rPr>
                <w:sz w:val="22"/>
                <w:szCs w:val="22"/>
              </w:rPr>
            </w:pPr>
            <w:r>
              <w:rPr>
                <w:rFonts w:ascii="Times New Roman" w:hAnsi="Times New Roman" w:cs="Times New Roman"/>
                <w:color w:val="#000000"/>
                <w:sz w:val="22"/>
                <w:szCs w:val="22"/>
              </w:rPr>
              <w:t> </w:t>
            </w:r>
          </w:p>
          <w:p>
            <w:pPr>
              <w:jc w:val="both"/>
              <w:spacing w:after="0" w:line="240" w:lineRule="auto"/>
              <w:rPr>
                <w:sz w:val="22"/>
                <w:szCs w:val="22"/>
              </w:rPr>
            </w:pPr>
            <w:r>
              <w:rPr>
                <w:rFonts w:ascii="Times New Roman" w:hAnsi="Times New Roman" w:cs="Times New Roman"/>
                <w:color w:val="#000000"/>
                <w:sz w:val="22"/>
                <w:szCs w:val="22"/>
              </w:rPr>
              <w:t> .</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52"/>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Тайм-менеджмент в образовании</w:t>
            </w:r>
          </w:p>
          <w:p>
            <w:pPr>
              <w:jc w:val="center"/>
              <w:spacing w:after="0" w:line="240" w:lineRule="auto"/>
              <w:rPr>
                <w:sz w:val="32"/>
                <w:szCs w:val="32"/>
              </w:rPr>
            </w:pPr>
            <w:r>
              <w:rPr>
                <w:rFonts w:ascii="Times New Roman" w:hAnsi="Times New Roman" w:cs="Times New Roman"/>
                <w:color w:val="#000000"/>
                <w:sz w:val="32"/>
                <w:szCs w:val="32"/>
              </w:rPr>
              <w:t> К.М.04.ДВ.01.02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магистратуры</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44.04.01 Педагогическое образование (высшее образование - магистратура)</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«Государственно-общественное управление образованием»</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699.7196"/>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851" w:type="dxa"/>
          </w:tcPr>
          <w:p/>
        </w:tc>
        <w:tc>
          <w:tcPr>
            <w:tcW w:w="285"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9.996789"/>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124.2143"/>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научно-исследовательский, организационно-управленческий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5118" w:type="dxa"/>
            <w:gridSpan w:val="3"/>
            <w:tcBorders>
</w:tcBorders>
            <w:vMerge/>
            <w:shd w:val="clear" w:color="#000000" w:fill="#FFFFFF"/>
            <w:vAlign w:val="top"/>
            <w:tcMar>
              <w:left w:w="34" w:type="dxa"/>
              <w:right w:w="34" w:type="dxa"/>
            </w:tcMar>
          </w:tcPr>
          <w:p/>
        </w:tc>
      </w:tr>
      <w:tr>
        <w:trPr>
          <w:trHeight w:hRule="exact" w:val="1643.754"/>
        </w:trPr>
        <w:tc>
          <w:tcPr>
            <w:tcW w:w="143" w:type="dxa"/>
          </w:tcPr>
          <w:p/>
        </w:tc>
        <w:tc>
          <w:tcPr>
            <w:tcW w:w="285" w:type="dxa"/>
          </w:tcPr>
          <w:p/>
        </w:tc>
        <w:tc>
          <w:tcPr>
            <w:tcW w:w="710" w:type="dxa"/>
          </w:tcPr>
          <w:p/>
        </w:tc>
        <w:tc>
          <w:tcPr>
            <w:tcW w:w="1419" w:type="dxa"/>
          </w:tcPr>
          <w:p/>
        </w:tc>
        <w:tc>
          <w:tcPr>
            <w:tcW w:w="1419" w:type="dxa"/>
          </w:tcPr>
          <w:p/>
        </w:tc>
        <w:tc>
          <w:tcPr>
            <w:tcW w:w="851" w:type="dxa"/>
          </w:tcPr>
          <w:p/>
        </w:tc>
        <w:tc>
          <w:tcPr>
            <w:tcW w:w="285"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/Савина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 марта 2024 г. №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магистратура по направлению подготовки 44.04.01 Педагогическое образование направленность (профиль) программы: «Государственно-общественное управление образованием»; форма обучения – очная на 2024-2025 учебный год, утвержденным приказом ректора от 25.03.2024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«Тайм-менеджмент в образовании»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магистратура по направлению подготовки 44.04.01 Педагогическое образование;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К.М.04.ДВ.01.02 «Тайм-менеджмент в образовании».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утвержденного Приказом Министерства образования и науки РФ от 22.02.2018 г. № 126 «Об утверждении федерального государственного образовательного стандарта высшего образования - магистратура по направлению подготовки 44.04.01 Педагогическое образование» при разработке основной профессиональной образовательной программы (далее - ОПОП) магистратуры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«Тайм-менеджмент в образовании»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взаимодействие всех участников образовательного процесса в коллегиальных органах управления, соответствующих целям развития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ПК-3.1 знать теорию  и  историю, нормативно-правовые акты создания и функционирования  органов государственно-общественного управления</w:t>
            </w:r>
          </w:p>
        </w:tc>
      </w:tr>
      <w:tr>
        <w:trPr>
          <w:trHeight w:hRule="exact" w:val="314.580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ПК-3.2 знать модели  взаимодействия государства  и  общества  в образовании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ПК-3.3 знать психолого-педагогические  особенности коммуникаций  в  деятельности коллегиальных  органов  управления образованием</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ПК-3.4 уметь  отбирать  и использовать  соответствующие  целям и  условиям деятельности образовательной  организации нормативные  документы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ПК-3.5 уметь разрабатывать  локальные  акты  при создании  и  функционировании коллегиальных  форм  управления образованием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ПК-3.6 владеть адекватными конкретной  ситуации  действиями, позволяющими осуществлять мониторинг  и  поддержку деятельности  коллегиальных органов управления образованием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Готовность изучать состояние и потенциал управляемой системы и ее макро- и микроокружения путем использования комплекса методов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особенности организации  образовательного процесса на  соответствующем уровне образования</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особенности методов  управления образовательной организацией на соответствующем  уровне образования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работать  в  команде</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комплекс  методов анализа  организационно-управленческой деятельности  на соответствующем    уровне образования</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приемами  и инструментарием  экспертизы локальных  актов образовательной организации,  обеспечивающих реализацию  деятельности коллегиальных  органов  управления, способен осуществлять их оценку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К.М.04.ДВ.01.02 «Тайм-менеджмент в образовании» относится к обязательной части, является дисциплиной Блока Б1. «Дисциплины (модули)». Модуль "История, теория и практика взаимодействия государства и общества " основной профессиональной образовательной программы высшего образования - магистратура по направлению подготовки 44.04.01 Педагогическое образование.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Современные проблемы науки и образования</w:t>
            </w:r>
          </w:p>
          <w:p>
            <w:pPr>
              <w:jc w:val="center"/>
              <w:spacing w:after="0" w:line="240" w:lineRule="auto"/>
              <w:rPr>
                <w:sz w:val="22"/>
                <w:szCs w:val="22"/>
              </w:rPr>
            </w:pPr>
            <w:r>
              <w:rPr>
                <w:rFonts w:ascii="Times New Roman" w:hAnsi="Times New Roman" w:cs="Times New Roman"/>
                <w:color w:val="#000000"/>
                <w:sz w:val="22"/>
                <w:szCs w:val="22"/>
              </w:rPr>
              <w:t> Социальный маркетинг в образовании</w:t>
            </w:r>
          </w:p>
          <w:p>
            <w:pPr>
              <w:jc w:val="center"/>
              <w:spacing w:after="0" w:line="240" w:lineRule="auto"/>
              <w:rPr>
                <w:sz w:val="22"/>
                <w:szCs w:val="22"/>
              </w:rPr>
            </w:pPr>
            <w:r>
              <w:rPr>
                <w:rFonts w:ascii="Times New Roman" w:hAnsi="Times New Roman" w:cs="Times New Roman"/>
                <w:color w:val="#000000"/>
                <w:sz w:val="22"/>
                <w:szCs w:val="22"/>
              </w:rPr>
              <w:t> Проблемы качества современного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управления (с практикумом)</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 ПК-3</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8918"/>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Теоретические и практические  основы тайм- менеджмента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тайм-менеджмент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Инструменты и методы планирования  и распределения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Процессный подход к деятельности. Методика Кайдзен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Виды планирования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Поглотители времени. Ресурсы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Мотивация в тайм-менеджменте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Стресс. Отдых как условие успешного тайм- менеджмента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3108.4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46.1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тайм-менеджмент</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Предпосылки возникновения тайм-менеджмента, основные этапы его зарождения и развития. Эволюция теории об эффективной организации времени. Тейлоризм. Период «классического» тайм-менеджмента. «Советский ТМ».  Современный тайм-менеджмент (конец ХХ   - начало ХХI вв). Концепция Ст. Кови о достижении личностной зрелости. Древние философы о времени и пользе его рационального использования.  Сущность  и функции тайм-менеджмента. Основные направления тайм менеджмента. Тайм- менеджмент  как составляющая самоменеджмента.    Временная компетентность специалиста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Инструменты и методы планирования  и распределения времени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Принципы эффективного использования рабочего времени, методы его учета и измерения. Оценка процесса расходования и потери времени в зарубежных и отечественных организациях. Анализ планирования рабочего времени руководителя образовательной организации, способы его оптимизации. Причины дефицита времени и его инвентаризация.  Классические техники деловой активности: Основы и принципы делегирования в образовательной организации. Правила делегирования. Понятие успеха – неуспеха. Система критериев успеха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Процессный подход к деятельности. Методика Кайдзен</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Порядок – одно из основных положений методики Кайдзен. Цепочка процедур, составляющих процесс. Стабилизация процесса. Устранение потерь времени по системе Кайдзен. Совершенствование процессов деятельности.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Целеполагание. Виды планирования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Методы и технологии тайм-менеджмента как элемента системы управления организацией. Целеполагание как определение ключевого направления развития, планирования и разработки плана достижения поставленных целей.  Основные принципы и критерии постановки целей  (КИНДР,  SMART). Сущность планирования рабочего времени. «Золотые» пропорции планирования времени. Деятельность менеджера образования по организации управления временем</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Поглотители времени. Ресурсы времени</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Хронофаги: понятие и их виды. Оценка использования времени, выявление базовых и второстепенных дел.  Способы выявления хронофагов.   Оптимизация стандартных процессов деятельности и временных затрат. Заповеди распределения времени руководителем. Правило TRAF. Технические форс-мажоры. Ассертивность в тайм- менеджменте. Анализ и работа с «поглотителями» времени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Мотивация в тайм-менеджменте</w:t>
            </w:r>
          </w:p>
        </w:tc>
      </w:tr>
      <w:tr>
        <w:trPr>
          <w:trHeight w:hRule="exact" w:val="21.31518"/>
        </w:trPr>
        <w:tc>
          <w:tcPr>
            <w:tcW w:w="9640" w:type="dxa"/>
          </w:tcPr>
          <w:p/>
        </w:tc>
      </w:tr>
      <w:tr>
        <w:trPr>
          <w:trHeight w:hRule="exact" w:val="344.715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Мотивация и мотивы деятельности. Мотивация в тайм-менеджменте как условие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достижения цели. Соответствие внутренней мотивации поставленным целям. Маленькие «хитрости» самомотивации. Преобразование « цели» в «путь» достижения промежуточных целей. Правила формулы успеха. Оптимизация персональной деятельности менеджера</w:t>
            </w:r>
          </w:p>
        </w:tc>
      </w:tr>
      <w:tr>
        <w:trPr>
          <w:trHeight w:hRule="exact" w:val="8.08504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Стресс. Отдых как условие успешного тайм-менеджмента</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стресса и его динамики.  Грамотное планирование рабочего времени и рациональное распределение обязанностей между сотрудниками. Методы рационального использования времени как способ предупреждения стресса.  Повышение фрустрационной стрессоустойчивости. ГЭД личности.</w:t>
            </w:r>
          </w:p>
          <w:p>
            <w:pPr>
              <w:jc w:val="left"/>
              <w:spacing w:after="0" w:line="240" w:lineRule="auto"/>
              <w:rPr>
                <w:sz w:val="24"/>
                <w:szCs w:val="24"/>
              </w:rPr>
            </w:pPr>
            <w:r>
              <w:rPr>
                <w:rFonts w:ascii="Times New Roman" w:hAnsi="Times New Roman" w:cs="Times New Roman"/>
                <w:color w:val="#000000"/>
                <w:sz w:val="24"/>
                <w:szCs w:val="24"/>
              </w:rPr>
              <w:t> Индивидуальные биоритмы человека: определение своих биоритмов Сознательное использование своих возможностей в процессе управления течением имеющегося в распоряжении времени.   Переключение в отдыхе с работы  и восстановление сил. Творческая лень. Эффективный сон. Переживание момента. Развитие качеств, необходимых для успешного  корпоративного тайм-менеджмента</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«Тайм-менеджмент в образовании» / Савина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Бехтерев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Лукашенко</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Телегина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Полный</w:t>
            </w:r>
            <w:r>
              <w:rPr/>
              <w:t xml:space="preserve"> </w:t>
            </w:r>
            <w:r>
              <w:rPr>
                <w:rFonts w:ascii="Times New Roman" w:hAnsi="Times New Roman" w:cs="Times New Roman"/>
                <w:color w:val="#000000"/>
                <w:sz w:val="24"/>
                <w:szCs w:val="24"/>
              </w:rPr>
              <w:t>курс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978-5-9614-1881-1.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http://www.iprbookshop.ru/68022.html</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Цибульникова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Московский</w:t>
            </w:r>
            <w:r>
              <w:rPr/>
              <w:t xml:space="preserve"> </w:t>
            </w:r>
            <w:r>
              <w:rPr>
                <w:rFonts w:ascii="Times New Roman" w:hAnsi="Times New Roman" w:cs="Times New Roman"/>
                <w:color w:val="#000000"/>
                <w:sz w:val="24"/>
                <w:szCs w:val="24"/>
              </w:rPr>
              <w:t>педагогический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978-5-4263-0397-3.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http://www.iprbookshop.ru/72515.html</w:t>
            </w:r>
            <w:r>
              <w:rPr/>
              <w:t xml:space="preserve"> </w:t>
            </w:r>
          </w:p>
        </w:tc>
      </w:tr>
      <w:tr>
        <w:trPr>
          <w:trHeight w:hRule="exact" w:val="1096.47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Брайану</w:t>
            </w:r>
            <w:r>
              <w:rPr/>
              <w:t xml:space="preserve"> </w:t>
            </w:r>
            <w:r>
              <w:rPr>
                <w:rFonts w:ascii="Times New Roman" w:hAnsi="Times New Roman" w:cs="Times New Roman"/>
                <w:color w:val="#000000"/>
                <w:sz w:val="24"/>
                <w:szCs w:val="24"/>
              </w:rPr>
              <w:t>Трейси:</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заставить</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работать</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вас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Трейси</w:t>
            </w:r>
            <w:r>
              <w:rPr/>
              <w:t xml:space="preserve"> </w:t>
            </w:r>
            <w:r>
              <w:rPr>
                <w:rFonts w:ascii="Times New Roman" w:hAnsi="Times New Roman" w:cs="Times New Roman"/>
                <w:color w:val="#000000"/>
                <w:sz w:val="24"/>
                <w:szCs w:val="24"/>
              </w:rPr>
              <w:t>Брайан,</w:t>
            </w:r>
            <w:r>
              <w:rPr/>
              <w:t xml:space="preserve"> </w:t>
            </w:r>
            <w:r>
              <w:rPr>
                <w:rFonts w:ascii="Times New Roman" w:hAnsi="Times New Roman" w:cs="Times New Roman"/>
                <w:color w:val="#000000"/>
                <w:sz w:val="24"/>
                <w:szCs w:val="24"/>
              </w:rPr>
              <w:t>Иутина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Брайану</w:t>
            </w:r>
            <w:r>
              <w:rPr/>
              <w:t xml:space="preserve"> </w:t>
            </w:r>
            <w:r>
              <w:rPr>
                <w:rFonts w:ascii="Times New Roman" w:hAnsi="Times New Roman" w:cs="Times New Roman"/>
                <w:color w:val="#000000"/>
                <w:sz w:val="24"/>
                <w:szCs w:val="24"/>
              </w:rPr>
              <w:t>Трейси:</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заставить</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работать</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вас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978-5-9614-4423-0.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http://www.iprbookshop.ru/82536.html</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Корпоративный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Архангельский</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Нарциссовой</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Корпоративный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энциклопедия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978-5-9614-1380-9.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http://www.iprbookshop.ru/86873.html</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помидору:</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концентрироваться</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одном</w:t>
            </w:r>
            <w:r>
              <w:rPr/>
              <w:t xml:space="preserve"> </w:t>
            </w:r>
            <w:r>
              <w:rPr>
                <w:rFonts w:ascii="Times New Roman" w:hAnsi="Times New Roman" w:cs="Times New Roman"/>
                <w:color w:val="#000000"/>
                <w:sz w:val="24"/>
                <w:szCs w:val="24"/>
              </w:rPr>
              <w:t>деле</w:t>
            </w:r>
            <w:r>
              <w:rPr/>
              <w:t xml:space="preserve"> </w:t>
            </w:r>
            <w:r>
              <w:rPr>
                <w:rFonts w:ascii="Times New Roman" w:hAnsi="Times New Roman" w:cs="Times New Roman"/>
                <w:color w:val="#000000"/>
                <w:sz w:val="24"/>
                <w:szCs w:val="24"/>
              </w:rPr>
              <w:t>хотя</w:t>
            </w:r>
            <w:r>
              <w:rPr/>
              <w:t xml:space="preserve"> </w:t>
            </w:r>
            <w:r>
              <w:rPr>
                <w:rFonts w:ascii="Times New Roman" w:hAnsi="Times New Roman" w:cs="Times New Roman"/>
                <w:color w:val="#000000"/>
                <w:sz w:val="24"/>
                <w:szCs w:val="24"/>
              </w:rPr>
              <w:t>бы</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минут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Нётеберг</w:t>
            </w:r>
            <w:r>
              <w:rPr/>
              <w:t xml:space="preserve"> </w:t>
            </w:r>
            <w:r>
              <w:rPr>
                <w:rFonts w:ascii="Times New Roman" w:hAnsi="Times New Roman" w:cs="Times New Roman"/>
                <w:color w:val="#000000"/>
                <w:sz w:val="24"/>
                <w:szCs w:val="24"/>
              </w:rPr>
              <w:t>Штаффан,</w:t>
            </w:r>
            <w:r>
              <w:rPr/>
              <w:t xml:space="preserve"> </w:t>
            </w:r>
            <w:r>
              <w:rPr>
                <w:rFonts w:ascii="Times New Roman" w:hAnsi="Times New Roman" w:cs="Times New Roman"/>
                <w:color w:val="#000000"/>
                <w:sz w:val="24"/>
                <w:szCs w:val="24"/>
              </w:rPr>
              <w:t>Подобед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помидору:</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концентрироваться</w:t>
            </w:r>
            <w:r>
              <w:rPr/>
              <w:t xml:space="preserve"> </w:t>
            </w:r>
            <w:r>
              <w:rPr>
                <w:rFonts w:ascii="Times New Roman" w:hAnsi="Times New Roman" w:cs="Times New Roman"/>
                <w:color w:val="#000000"/>
                <w:sz w:val="24"/>
                <w:szCs w:val="24"/>
              </w:rPr>
              <w:t>на</w:t>
            </w:r>
            <w:r>
              <w:rPr/>
              <w:t xml:space="preserve"> </w:t>
            </w:r>
            <w:r>
              <w:rPr>
                <w:rFonts w:ascii="Times New Roman" w:hAnsi="Times New Roman" w:cs="Times New Roman"/>
                <w:color w:val="#000000"/>
                <w:sz w:val="24"/>
                <w:szCs w:val="24"/>
              </w:rPr>
              <w:t>одном</w:t>
            </w:r>
            <w:r>
              <w:rPr/>
              <w:t xml:space="preserve"> </w:t>
            </w:r>
            <w:r>
              <w:rPr>
                <w:rFonts w:ascii="Times New Roman" w:hAnsi="Times New Roman" w:cs="Times New Roman"/>
                <w:color w:val="#000000"/>
                <w:sz w:val="24"/>
                <w:szCs w:val="24"/>
              </w:rPr>
              <w:t>деле</w:t>
            </w:r>
            <w:r>
              <w:rPr/>
              <w:t xml:space="preserve"> </w:t>
            </w:r>
            <w:r>
              <w:rPr>
                <w:rFonts w:ascii="Times New Roman" w:hAnsi="Times New Roman" w:cs="Times New Roman"/>
                <w:color w:val="#000000"/>
                <w:sz w:val="24"/>
                <w:szCs w:val="24"/>
              </w:rPr>
              <w:t>хотя</w:t>
            </w:r>
            <w:r>
              <w:rPr/>
              <w:t xml:space="preserve"> </w:t>
            </w:r>
            <w:r>
              <w:rPr>
                <w:rFonts w:ascii="Times New Roman" w:hAnsi="Times New Roman" w:cs="Times New Roman"/>
                <w:color w:val="#000000"/>
                <w:sz w:val="24"/>
                <w:szCs w:val="24"/>
              </w:rPr>
              <w:t>бы</w:t>
            </w:r>
            <w:r>
              <w:rPr/>
              <w:t xml:space="preserve"> </w:t>
            </w:r>
            <w:r>
              <w:rPr>
                <w:rFonts w:ascii="Times New Roman" w:hAnsi="Times New Roman" w:cs="Times New Roman"/>
                <w:color w:val="#000000"/>
                <w:sz w:val="24"/>
                <w:szCs w:val="24"/>
              </w:rPr>
              <w:t>25</w:t>
            </w:r>
            <w:r>
              <w:rPr/>
              <w:t xml:space="preserve"> </w:t>
            </w:r>
            <w:r>
              <w:rPr>
                <w:rFonts w:ascii="Times New Roman" w:hAnsi="Times New Roman" w:cs="Times New Roman"/>
                <w:color w:val="#000000"/>
                <w:sz w:val="24"/>
                <w:szCs w:val="24"/>
              </w:rPr>
              <w:t>минут</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978-5-9614-1982-5.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http://www.iprbookshop.ru/82537.html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Позитивный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успевать</w:t>
            </w:r>
            <w:r>
              <w:rPr/>
              <w:t xml:space="preserve"> </w:t>
            </w:r>
            <w:r>
              <w:rPr>
                <w:rFonts w:ascii="Times New Roman" w:hAnsi="Times New Roman" w:cs="Times New Roman"/>
                <w:color w:val="#000000"/>
                <w:sz w:val="24"/>
                <w:szCs w:val="24"/>
              </w:rPr>
              <w:t>быть</w:t>
            </w:r>
            <w:r>
              <w:rPr/>
              <w:t xml:space="preserve"> </w:t>
            </w:r>
            <w:r>
              <w:rPr>
                <w:rFonts w:ascii="Times New Roman" w:hAnsi="Times New Roman" w:cs="Times New Roman"/>
                <w:color w:val="#000000"/>
                <w:sz w:val="24"/>
                <w:szCs w:val="24"/>
              </w:rPr>
              <w:t>счастливым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Мария</w:t>
            </w:r>
            <w:r>
              <w:rPr/>
              <w:t xml:space="preserve"> </w:t>
            </w:r>
            <w:r>
              <w:rPr>
                <w:rFonts w:ascii="Times New Roman" w:hAnsi="Times New Roman" w:cs="Times New Roman"/>
                <w:color w:val="#000000"/>
                <w:sz w:val="24"/>
                <w:szCs w:val="24"/>
              </w:rPr>
              <w:t>Хайнц.</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Позитивный</w:t>
            </w:r>
            <w:r>
              <w:rPr/>
              <w:t xml:space="preserve"> </w:t>
            </w:r>
            <w:r>
              <w:rPr>
                <w:rFonts w:ascii="Times New Roman" w:hAnsi="Times New Roman" w:cs="Times New Roman"/>
                <w:color w:val="#000000"/>
                <w:sz w:val="24"/>
                <w:szCs w:val="24"/>
              </w:rPr>
              <w:t>тайм-менеджмент:</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успевать</w:t>
            </w:r>
            <w:r>
              <w:rPr/>
              <w:t xml:space="preserve"> </w:t>
            </w:r>
            <w:r>
              <w:rPr>
                <w:rFonts w:ascii="Times New Roman" w:hAnsi="Times New Roman" w:cs="Times New Roman"/>
                <w:color w:val="#000000"/>
                <w:sz w:val="24"/>
                <w:szCs w:val="24"/>
              </w:rPr>
              <w:t>быть</w:t>
            </w:r>
            <w:r>
              <w:rPr/>
              <w:t xml:space="preserve"> </w:t>
            </w:r>
            <w:r>
              <w:rPr>
                <w:rFonts w:ascii="Times New Roman" w:hAnsi="Times New Roman" w:cs="Times New Roman"/>
                <w:color w:val="#000000"/>
                <w:sz w:val="24"/>
                <w:szCs w:val="24"/>
              </w:rPr>
              <w:t>счастливым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Альпина</w:t>
            </w:r>
            <w:r>
              <w:rPr/>
              <w:t xml:space="preserve"> </w:t>
            </w:r>
            <w:r>
              <w:rPr>
                <w:rFonts w:ascii="Times New Roman" w:hAnsi="Times New Roman" w:cs="Times New Roman"/>
                <w:color w:val="#000000"/>
                <w:sz w:val="24"/>
                <w:szCs w:val="24"/>
              </w:rPr>
              <w:t>Паблишер,</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978-5-9614-4795-8.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http://www.iprbookshop.ru/86770.html</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73.79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1.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94.6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магистратуры;</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716.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микшер,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2024-2025_ФГОС3++2024_Маг-ОФО-ПО(ГОУО)(24)_plx_Тайм-менеджмент в образовании</dc:title>
  <dc:creator>FastReport.NET</dc:creator>
</cp:coreProperties>
</file>